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7B0" w:rsidRPr="00CA77B0" w:rsidRDefault="00CA77B0" w:rsidP="00CA77B0">
      <w:pPr>
        <w:spacing w:after="60" w:line="240" w:lineRule="auto"/>
        <w:contextualSpacing w:val="0"/>
        <w:jc w:val="center"/>
        <w:outlineLvl w:val="0"/>
        <w:rPr>
          <w:rFonts w:ascii="unset" w:eastAsia="Times New Roman" w:hAnsi="unset" w:cs="Times New Roman"/>
          <w:b/>
          <w:bCs/>
          <w:spacing w:val="-2"/>
          <w:kern w:val="36"/>
          <w:sz w:val="30"/>
          <w:szCs w:val="30"/>
        </w:rPr>
      </w:pPr>
      <w:r w:rsidRPr="00CA77B0">
        <w:rPr>
          <w:rFonts w:ascii="unset" w:eastAsia="Times New Roman" w:hAnsi="unset" w:cs="Times New Roman"/>
          <w:b/>
          <w:bCs/>
          <w:spacing w:val="-2"/>
          <w:kern w:val="36"/>
          <w:sz w:val="30"/>
          <w:szCs w:val="30"/>
        </w:rPr>
        <w:t>PHỤ LỤC</w:t>
      </w:r>
    </w:p>
    <w:p w:rsidR="00CA77B0" w:rsidRPr="00CA77B0" w:rsidRDefault="00CA77B0" w:rsidP="00CA77B0">
      <w:pPr>
        <w:spacing w:after="60" w:line="240" w:lineRule="auto"/>
        <w:contextualSpacing w:val="0"/>
        <w:jc w:val="left"/>
        <w:outlineLvl w:val="0"/>
        <w:rPr>
          <w:rFonts w:ascii="unset" w:eastAsia="Times New Roman" w:hAnsi="unset" w:cs="Times New Roman"/>
          <w:b/>
          <w:bCs/>
          <w:spacing w:val="-2"/>
          <w:kern w:val="36"/>
          <w:sz w:val="30"/>
          <w:szCs w:val="30"/>
        </w:rPr>
      </w:pPr>
      <w:r w:rsidRPr="00CA77B0">
        <w:rPr>
          <w:rFonts w:ascii="unset" w:eastAsia="Times New Roman" w:hAnsi="unset" w:cs="Times New Roman"/>
          <w:b/>
          <w:bCs/>
          <w:spacing w:val="-2"/>
          <w:kern w:val="36"/>
          <w:sz w:val="30"/>
          <w:szCs w:val="30"/>
        </w:rPr>
        <w:t>Điều kiện, tiêu chuẩn cụ thể cho các vị trí tuyển dụng viên chức năm 2024 làm việc tại Trung tâm Quan trắc môi trường miền Bắc</w:t>
      </w:r>
    </w:p>
    <w:p w:rsidR="00CA77B0" w:rsidRDefault="00CA77B0" w:rsidP="00CA77B0">
      <w:pPr>
        <w:spacing w:after="0" w:line="240" w:lineRule="auto"/>
        <w:contextualSpacing w:val="0"/>
        <w:jc w:val="left"/>
        <w:outlineLvl w:val="0"/>
        <w:rPr>
          <w:rFonts w:ascii="unset" w:eastAsia="Times New Roman" w:hAnsi="unset" w:cs="Times New Roman"/>
          <w:b/>
          <w:bCs/>
          <w:i/>
          <w:iCs/>
          <w:spacing w:val="-2"/>
          <w:kern w:val="36"/>
          <w:sz w:val="30"/>
          <w:szCs w:val="30"/>
        </w:rPr>
      </w:pPr>
      <w:r w:rsidRPr="00CA77B0">
        <w:rPr>
          <w:rFonts w:ascii="unset" w:eastAsia="Times New Roman" w:hAnsi="unset" w:cs="Times New Roman"/>
          <w:b/>
          <w:bCs/>
          <w:i/>
          <w:iCs/>
          <w:spacing w:val="-2"/>
          <w:kern w:val="36"/>
          <w:sz w:val="30"/>
          <w:szCs w:val="30"/>
        </w:rPr>
        <w:t>(Kèm theo Thông báo số /TB-QTMB ngày tháng năm 2024 của Trung tâm Quan trắc môi trường miền Bắc)</w:t>
      </w:r>
    </w:p>
    <w:p w:rsidR="00CA77B0" w:rsidRPr="00CA77B0" w:rsidRDefault="00CA77B0" w:rsidP="00CA77B0">
      <w:pPr>
        <w:spacing w:after="0" w:line="240" w:lineRule="auto"/>
        <w:contextualSpacing w:val="0"/>
        <w:jc w:val="left"/>
        <w:outlineLvl w:val="0"/>
        <w:rPr>
          <w:rFonts w:ascii="unset" w:eastAsia="Times New Roman" w:hAnsi="unset" w:cs="Times New Roman"/>
          <w:b/>
          <w:bCs/>
          <w:spacing w:val="-2"/>
          <w:kern w:val="36"/>
          <w:sz w:val="30"/>
          <w:szCs w:val="30"/>
        </w:rPr>
      </w:pPr>
    </w:p>
    <w:p w:rsidR="00CA77B0" w:rsidRPr="00CA77B0" w:rsidRDefault="00CA77B0" w:rsidP="00CA77B0">
      <w:pPr>
        <w:spacing w:after="0" w:line="240" w:lineRule="auto"/>
        <w:contextualSpacing w:val="0"/>
        <w:jc w:val="left"/>
        <w:rPr>
          <w:rFonts w:eastAsia="Times New Roman" w:cs="Times New Roman"/>
          <w:sz w:val="24"/>
          <w:szCs w:val="24"/>
        </w:rPr>
      </w:pPr>
    </w:p>
    <w:tbl>
      <w:tblPr>
        <w:tblW w:w="9000" w:type="dxa"/>
        <w:shd w:val="clear" w:color="auto" w:fill="F8F5E9"/>
        <w:tblCellMar>
          <w:left w:w="0" w:type="dxa"/>
          <w:right w:w="0" w:type="dxa"/>
        </w:tblCellMar>
        <w:tblLook w:val="04A0" w:firstRow="1" w:lastRow="0" w:firstColumn="1" w:lastColumn="0" w:noHBand="0" w:noVBand="1"/>
      </w:tblPr>
      <w:tblGrid>
        <w:gridCol w:w="721"/>
        <w:gridCol w:w="1457"/>
        <w:gridCol w:w="1032"/>
        <w:gridCol w:w="3828"/>
        <w:gridCol w:w="1962"/>
      </w:tblGrid>
      <w:tr w:rsidR="00CA77B0" w:rsidRPr="00CA77B0" w:rsidTr="00CA77B0">
        <w:trPr>
          <w:tblHeader/>
        </w:trPr>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b/>
                <w:bCs/>
                <w:color w:val="222222"/>
                <w:sz w:val="27"/>
                <w:szCs w:val="27"/>
              </w:rPr>
              <w:t>TT</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b/>
                <w:bCs/>
                <w:color w:val="222222"/>
                <w:sz w:val="27"/>
                <w:szCs w:val="27"/>
              </w:rPr>
              <w:t>Vị trí tuyển dụng</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b/>
                <w:bCs/>
                <w:color w:val="222222"/>
                <w:sz w:val="27"/>
                <w:szCs w:val="27"/>
              </w:rPr>
              <w:t>Số lượng xét tuyển</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b/>
                <w:bCs/>
                <w:color w:val="222222"/>
                <w:sz w:val="27"/>
                <w:szCs w:val="27"/>
              </w:rPr>
              <w:t>Tiêu chuẩn, điều kiện cụ thể</w:t>
            </w:r>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b/>
                <w:bCs/>
                <w:color w:val="222222"/>
                <w:sz w:val="27"/>
                <w:szCs w:val="27"/>
              </w:rPr>
              <w:t>Nơi làm việc sau khi được tuyển dụng</w:t>
            </w:r>
          </w:p>
        </w:tc>
      </w:tr>
      <w:tr w:rsidR="00CA77B0" w:rsidRPr="00CA77B0" w:rsidTr="00CA77B0">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i/>
                <w:iCs/>
                <w:color w:val="222222"/>
                <w:sz w:val="27"/>
                <w:szCs w:val="27"/>
              </w:rPr>
              <w:t>(1)</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i/>
                <w:iCs/>
                <w:color w:val="222222"/>
                <w:sz w:val="27"/>
                <w:szCs w:val="27"/>
              </w:rPr>
              <w:t>(2)</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i/>
                <w:iCs/>
                <w:color w:val="222222"/>
                <w:sz w:val="27"/>
                <w:szCs w:val="27"/>
              </w:rPr>
              <w:t>(3)</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i/>
                <w:iCs/>
                <w:color w:val="222222"/>
                <w:sz w:val="27"/>
                <w:szCs w:val="27"/>
              </w:rPr>
              <w:t>(4)</w:t>
            </w:r>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i/>
                <w:iCs/>
                <w:color w:val="222222"/>
                <w:sz w:val="27"/>
                <w:szCs w:val="27"/>
              </w:rPr>
              <w:t>(5)</w:t>
            </w:r>
          </w:p>
        </w:tc>
      </w:tr>
      <w:tr w:rsidR="00CA77B0" w:rsidRPr="00CA77B0" w:rsidTr="00CA77B0">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1</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Chuyên viên về hành chính - văn phòng (kiêm nhiệm chuyên viên về quản trị công sở)</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02</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 Tốt nghiệp đại học trở lên ngành hóa học, môi trường, điện, điện tử, quản trị, công nghệ thông tin hoặc các chuyên ngành khác có liên quan.</w:t>
            </w:r>
            <w:r w:rsidRPr="00CA77B0">
              <w:rPr>
                <w:rFonts w:ascii="unset" w:eastAsia="Times New Roman" w:hAnsi="unset" w:cs="Arial"/>
                <w:color w:val="222222"/>
                <w:sz w:val="27"/>
                <w:szCs w:val="27"/>
              </w:rPr>
              <w:br/>
              <w:t>- Ngoại ngữ: trình độ tương đương bậc 2 khung năng lực ngoại ngữ Việt Nam trở lên.</w:t>
            </w:r>
            <w:r w:rsidRPr="00CA77B0">
              <w:rPr>
                <w:rFonts w:ascii="unset" w:eastAsia="Times New Roman" w:hAnsi="unset" w:cs="Arial"/>
                <w:color w:val="222222"/>
                <w:sz w:val="27"/>
                <w:szCs w:val="27"/>
              </w:rPr>
              <w:br/>
              <w:t>- Tin học: có trình độ tin học đạt chuẩn kỹ năng sử dụng công nghệ thông tin cơ bản theo quy định tại Thông tư số </w:t>
            </w:r>
            <w:hyperlink r:id="rId5" w:tgtFrame="_blank" w:history="1">
              <w:r w:rsidRPr="00CA77B0">
                <w:rPr>
                  <w:rFonts w:ascii="unset" w:eastAsia="Times New Roman" w:hAnsi="unset" w:cs="Arial"/>
                  <w:color w:val="0000FF"/>
                  <w:sz w:val="27"/>
                  <w:szCs w:val="27"/>
                  <w:u w:val="single"/>
                </w:rPr>
                <w:t>03/2014/TT-BTTTT</w:t>
              </w:r>
            </w:hyperlink>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Văn phòng Trung tâm Quan trắc môi trường miền Bắc, số 79 Văn Tiến Dũng, phường Minh Khai, quận Bắc Từ Liêm, Tp. Hà Nội</w:t>
            </w:r>
          </w:p>
        </w:tc>
      </w:tr>
      <w:tr w:rsidR="00CA77B0" w:rsidRPr="00CA77B0" w:rsidTr="00CA77B0">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2</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Chuyên viên về kế hoạch đầu tư</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01</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 Tốt nghiệp trình độ đại học trở lên về kinh tế, kế hoạch, quản lý, quản trị, môi trường, hóa học, luật, có hiểu biết, về tổ chức, triển khai hoạt động q</w:t>
            </w:r>
            <w:bookmarkStart w:id="0" w:name="_GoBack"/>
            <w:bookmarkEnd w:id="0"/>
            <w:r w:rsidRPr="00CA77B0">
              <w:rPr>
                <w:rFonts w:ascii="unset" w:eastAsia="Times New Roman" w:hAnsi="unset" w:cs="Arial"/>
                <w:color w:val="222222"/>
                <w:sz w:val="27"/>
                <w:szCs w:val="27"/>
              </w:rPr>
              <w:t>uan trắc môi trường.</w:t>
            </w:r>
            <w:r w:rsidRPr="00CA77B0">
              <w:rPr>
                <w:rFonts w:ascii="unset" w:eastAsia="Times New Roman" w:hAnsi="unset" w:cs="Arial"/>
                <w:color w:val="222222"/>
                <w:sz w:val="27"/>
                <w:szCs w:val="27"/>
              </w:rPr>
              <w:br/>
              <w:t>- Ngoại ngữ: trình độ tương đương bậc 2 khung năng lực ngoại ngữ Việt Nam trở lên.</w:t>
            </w:r>
            <w:r w:rsidRPr="00CA77B0">
              <w:rPr>
                <w:rFonts w:ascii="unset" w:eastAsia="Times New Roman" w:hAnsi="unset" w:cs="Arial"/>
                <w:color w:val="222222"/>
                <w:sz w:val="27"/>
                <w:szCs w:val="27"/>
              </w:rPr>
              <w:br/>
              <w:t>- Tin học: có trình độ tin học đạt chuẩn kỹ năng sử dụng công nghệ thông tin cơ bản theo quy định tại Thông tư số </w:t>
            </w:r>
            <w:hyperlink r:id="rId6" w:tgtFrame="_blank" w:history="1">
              <w:r w:rsidRPr="00CA77B0">
                <w:rPr>
                  <w:rFonts w:ascii="unset" w:eastAsia="Times New Roman" w:hAnsi="unset" w:cs="Arial"/>
                  <w:color w:val="0000FF"/>
                  <w:sz w:val="27"/>
                  <w:szCs w:val="27"/>
                  <w:u w:val="single"/>
                </w:rPr>
                <w:t>03/2014/TT-BTTTT</w:t>
              </w:r>
            </w:hyperlink>
            <w:r w:rsidRPr="00CA77B0">
              <w:rPr>
                <w:rFonts w:ascii="unset" w:eastAsia="Times New Roman" w:hAnsi="unset" w:cs="Arial"/>
                <w:color w:val="222222"/>
                <w:sz w:val="27"/>
                <w:szCs w:val="27"/>
              </w:rPr>
              <w:t>.</w:t>
            </w:r>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Văn phòng Trung tâm Quan trắc môi trường miền Bắc, số 79 Văn Tiến Dũng, phường Minh Khai, quận Bắc Từ Liêm, Tp. Hà Nội</w:t>
            </w:r>
          </w:p>
        </w:tc>
      </w:tr>
      <w:tr w:rsidR="00CA77B0" w:rsidRPr="00CA77B0" w:rsidTr="00CA77B0">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lastRenderedPageBreak/>
              <w:t>3</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Kế toán</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01</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 Tốt nghiệp đại học trở lên thuộc chuyên ngành kế toán, kiểm toán, tài chính;</w:t>
            </w:r>
            <w:r w:rsidRPr="00CA77B0">
              <w:rPr>
                <w:rFonts w:ascii="unset" w:eastAsia="Times New Roman" w:hAnsi="unset" w:cs="Arial"/>
                <w:color w:val="222222"/>
                <w:sz w:val="27"/>
                <w:szCs w:val="27"/>
              </w:rPr>
              <w:br/>
              <w:t>- Ngoại ngữ: trình độ tương đương bậc 2 khung năng lực ngoại ngữ Việt Nam trở lên.</w:t>
            </w:r>
            <w:r w:rsidRPr="00CA77B0">
              <w:rPr>
                <w:rFonts w:ascii="unset" w:eastAsia="Times New Roman" w:hAnsi="unset" w:cs="Arial"/>
                <w:color w:val="222222"/>
                <w:sz w:val="27"/>
                <w:szCs w:val="27"/>
              </w:rPr>
              <w:br/>
              <w:t>- Tin học: có trình độ tin học đạt chuẩn kỹ năng sử dụng công nghệ thông tin cơ bản theo quy định tại Thông tư số </w:t>
            </w:r>
            <w:hyperlink r:id="rId7" w:tgtFrame="_blank" w:history="1">
              <w:r w:rsidRPr="00CA77B0">
                <w:rPr>
                  <w:rFonts w:ascii="unset" w:eastAsia="Times New Roman" w:hAnsi="unset" w:cs="Arial"/>
                  <w:color w:val="0000FF"/>
                  <w:sz w:val="27"/>
                  <w:szCs w:val="27"/>
                  <w:u w:val="single"/>
                </w:rPr>
                <w:t>03/2014/TT-BTTTT</w:t>
              </w:r>
            </w:hyperlink>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Văn phòng Trung tâm Quan trắc môi trường miền Bắc, số 79 Văn Tiến Dũng, phường Minh Khai, quận Bắc Từ Liêm, Tp. Hà Nội</w:t>
            </w:r>
          </w:p>
        </w:tc>
      </w:tr>
      <w:tr w:rsidR="00CA77B0" w:rsidRPr="00CA77B0" w:rsidTr="00CA77B0">
        <w:tc>
          <w:tcPr>
            <w:tcW w:w="48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4</w:t>
            </w:r>
          </w:p>
        </w:tc>
        <w:tc>
          <w:tcPr>
            <w:tcW w:w="156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Quan trắc viên tài nguyên môi trường hạng III</w:t>
            </w:r>
          </w:p>
        </w:tc>
        <w:tc>
          <w:tcPr>
            <w:tcW w:w="85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12</w:t>
            </w:r>
          </w:p>
        </w:tc>
        <w:tc>
          <w:tcPr>
            <w:tcW w:w="454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 Tốt nghiệp đại học trở lên chuyên ngành về tài nguyên, môi trường, cấp thoát nước, hoá học, sinh học, lâm nghiệp, địa lý, khí tượng, thủy văn, biến đổi khí hậu; tự động hoá, đo lường, điện - điện tử, công nghệ thông tin, điện tử thông tin.</w:t>
            </w:r>
            <w:r w:rsidRPr="00CA77B0">
              <w:rPr>
                <w:rFonts w:ascii="unset" w:eastAsia="Times New Roman" w:hAnsi="unset" w:cs="Arial"/>
                <w:color w:val="222222"/>
                <w:sz w:val="27"/>
                <w:szCs w:val="27"/>
              </w:rPr>
              <w:br/>
              <w:t>- Ngoại ngữ: trình độ tương đương bậc 2 khung năng lực ngoại ngữ Việt Nam trở lên.</w:t>
            </w:r>
            <w:r w:rsidRPr="00CA77B0">
              <w:rPr>
                <w:rFonts w:ascii="unset" w:eastAsia="Times New Roman" w:hAnsi="unset" w:cs="Arial"/>
                <w:color w:val="222222"/>
                <w:sz w:val="27"/>
                <w:szCs w:val="27"/>
              </w:rPr>
              <w:br/>
              <w:t>- Tin học: có trình độ tin học đạt chuẩn kỹ năng sử dụng công nghệ thông tin cơ bản theo quy định tại Thông tư số </w:t>
            </w:r>
            <w:hyperlink r:id="rId8" w:tgtFrame="_blank" w:history="1">
              <w:r w:rsidRPr="00CA77B0">
                <w:rPr>
                  <w:rFonts w:ascii="unset" w:eastAsia="Times New Roman" w:hAnsi="unset" w:cs="Arial"/>
                  <w:color w:val="0000FF"/>
                  <w:sz w:val="27"/>
                  <w:szCs w:val="27"/>
                  <w:u w:val="single"/>
                </w:rPr>
                <w:t>03/2014/TT-BTTTT</w:t>
              </w:r>
            </w:hyperlink>
            <w:r w:rsidRPr="00CA77B0">
              <w:rPr>
                <w:rFonts w:ascii="unset" w:eastAsia="Times New Roman" w:hAnsi="unset" w:cs="Arial"/>
                <w:color w:val="222222"/>
                <w:sz w:val="27"/>
                <w:szCs w:val="27"/>
              </w:rPr>
              <w:t>.</w:t>
            </w:r>
          </w:p>
        </w:tc>
        <w:tc>
          <w:tcPr>
            <w:tcW w:w="2270" w:type="dxa"/>
            <w:shd w:val="clear" w:color="auto" w:fill="F8F5E9"/>
            <w:tcMar>
              <w:top w:w="180" w:type="dxa"/>
              <w:left w:w="180" w:type="dxa"/>
              <w:bottom w:w="180" w:type="dxa"/>
              <w:right w:w="180" w:type="dxa"/>
            </w:tcMar>
            <w:hideMark/>
          </w:tcPr>
          <w:p w:rsidR="00CA77B0" w:rsidRPr="00CA77B0" w:rsidRDefault="00CA77B0" w:rsidP="00CA77B0">
            <w:pPr>
              <w:spacing w:after="0" w:line="240" w:lineRule="auto"/>
              <w:contextualSpacing w:val="0"/>
              <w:jc w:val="left"/>
              <w:rPr>
                <w:rFonts w:ascii="unset" w:eastAsia="Times New Roman" w:hAnsi="unset" w:cs="Arial"/>
                <w:color w:val="222222"/>
                <w:sz w:val="27"/>
                <w:szCs w:val="27"/>
              </w:rPr>
            </w:pPr>
            <w:r w:rsidRPr="00CA77B0">
              <w:rPr>
                <w:rFonts w:ascii="unset" w:eastAsia="Times New Roman" w:hAnsi="unset" w:cs="Arial"/>
                <w:color w:val="222222"/>
                <w:sz w:val="27"/>
                <w:szCs w:val="27"/>
              </w:rPr>
              <w:t>- 03 viên chức làm việc tại Phòng Quan trắc và Cảnh báo môi trường;</w:t>
            </w:r>
            <w:r w:rsidRPr="00CA77B0">
              <w:rPr>
                <w:rFonts w:ascii="unset" w:eastAsia="Times New Roman" w:hAnsi="unset" w:cs="Arial"/>
                <w:color w:val="222222"/>
                <w:sz w:val="27"/>
                <w:szCs w:val="27"/>
              </w:rPr>
              <w:br/>
              <w:t>- 06 viên chức làm việc tại Phòng Hệ thống tự động và Kiểm định thiết bị;</w:t>
            </w:r>
            <w:r w:rsidRPr="00CA77B0">
              <w:rPr>
                <w:rFonts w:ascii="unset" w:eastAsia="Times New Roman" w:hAnsi="unset" w:cs="Arial"/>
                <w:color w:val="222222"/>
                <w:sz w:val="27"/>
                <w:szCs w:val="27"/>
              </w:rPr>
              <w:br/>
              <w:t>- 03 viên chức làm việc tại phòng Phân tích môi trường, dioxin và độc chất</w:t>
            </w:r>
            <w:r w:rsidRPr="00CA77B0">
              <w:rPr>
                <w:rFonts w:ascii="unset" w:eastAsia="Times New Roman" w:hAnsi="unset" w:cs="Arial"/>
                <w:color w:val="222222"/>
                <w:sz w:val="27"/>
                <w:szCs w:val="27"/>
              </w:rPr>
              <w:br/>
              <w:t>(Thuộc Trung tâm Quan trắc môi trường miền Bắc, số 79 Văn Tiến Dũng, phường Minh Khai, quận Bắc Từ Liêm, Tp. Hà Nội)</w:t>
            </w:r>
          </w:p>
        </w:tc>
      </w:tr>
    </w:tbl>
    <w:p w:rsidR="000E2F71" w:rsidRPr="00CA77B0" w:rsidRDefault="000E2F71" w:rsidP="00CA77B0">
      <w:pPr>
        <w:shd w:val="clear" w:color="auto" w:fill="F8F5E9"/>
        <w:spacing w:before="100" w:beforeAutospacing="1" w:after="150" w:line="240" w:lineRule="auto"/>
        <w:ind w:right="180"/>
        <w:contextualSpacing w:val="0"/>
        <w:jc w:val="left"/>
        <w:rPr>
          <w:rFonts w:ascii="Tahoma" w:eastAsia="Times New Roman" w:hAnsi="Tahoma" w:cs="Tahoma"/>
          <w:color w:val="212529"/>
          <w:sz w:val="21"/>
          <w:szCs w:val="21"/>
        </w:rPr>
      </w:pPr>
    </w:p>
    <w:sectPr w:rsidR="000E2F71" w:rsidRPr="00CA77B0"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se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427DF"/>
    <w:multiLevelType w:val="multilevel"/>
    <w:tmpl w:val="BDE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A7"/>
    <w:rsid w:val="000E2F71"/>
    <w:rsid w:val="00371A55"/>
    <w:rsid w:val="00CA77B0"/>
    <w:rsid w:val="00D5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CF3A"/>
  <w15:chartTrackingRefBased/>
  <w15:docId w15:val="{8248070C-7FD9-4613-9137-DBF3714C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styleId="Hyperlink">
    <w:name w:val="Hyperlink"/>
    <w:basedOn w:val="DefaultParagraphFont"/>
    <w:uiPriority w:val="99"/>
    <w:semiHidden/>
    <w:unhideWhenUsed/>
    <w:rsid w:val="00CA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0753">
      <w:bodyDiv w:val="1"/>
      <w:marLeft w:val="0"/>
      <w:marRight w:val="0"/>
      <w:marTop w:val="0"/>
      <w:marBottom w:val="0"/>
      <w:divBdr>
        <w:top w:val="none" w:sz="0" w:space="0" w:color="auto"/>
        <w:left w:val="none" w:sz="0" w:space="0" w:color="auto"/>
        <w:bottom w:val="none" w:sz="0" w:space="0" w:color="auto"/>
        <w:right w:val="none" w:sz="0" w:space="0" w:color="auto"/>
      </w:divBdr>
    </w:div>
    <w:div w:id="1499618030">
      <w:bodyDiv w:val="1"/>
      <w:marLeft w:val="0"/>
      <w:marRight w:val="0"/>
      <w:marTop w:val="0"/>
      <w:marBottom w:val="0"/>
      <w:divBdr>
        <w:top w:val="none" w:sz="0" w:space="0" w:color="auto"/>
        <w:left w:val="none" w:sz="0" w:space="0" w:color="auto"/>
        <w:bottom w:val="none" w:sz="0" w:space="0" w:color="auto"/>
        <w:right w:val="none" w:sz="0" w:space="0" w:color="auto"/>
      </w:divBdr>
      <w:divsChild>
        <w:div w:id="923955240">
          <w:marLeft w:val="0"/>
          <w:marRight w:val="0"/>
          <w:marTop w:val="0"/>
          <w:marBottom w:val="525"/>
          <w:divBdr>
            <w:top w:val="none" w:sz="0" w:space="0" w:color="auto"/>
            <w:left w:val="none" w:sz="0" w:space="0" w:color="auto"/>
            <w:bottom w:val="none" w:sz="0" w:space="0" w:color="auto"/>
            <w:right w:val="none" w:sz="0" w:space="0" w:color="auto"/>
          </w:divBdr>
          <w:divsChild>
            <w:div w:id="1138916045">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03-2014-tt-btttt-chuan-ky-nang-su-dung-cong-nghe-thong-tin-223113.aspx" TargetMode="External"/><Relationship Id="rId3" Type="http://schemas.openxmlformats.org/officeDocument/2006/relationships/settings" Target="settings.xml"/><Relationship Id="rId7" Type="http://schemas.openxmlformats.org/officeDocument/2006/relationships/hyperlink" Target="https://thuvienphapluat.vn/van-ban/cong-nghe-thong-tin/thong-tu-03-2014-tt-btttt-chuan-ky-nang-su-dung-cong-nghe-thong-tin-22311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cong-nghe-thong-tin/thong-tu-03-2014-tt-btttt-chuan-ky-nang-su-dung-cong-nghe-thong-tin-223113.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2024-11-29T01:31:00Z</dcterms:created>
  <dcterms:modified xsi:type="dcterms:W3CDTF">2024-11-29T01:33:00Z</dcterms:modified>
</cp:coreProperties>
</file>